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OZ.8030.</w:t>
      </w:r>
      <w:r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.202</w:t>
      </w:r>
      <w:r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 xml:space="preserve"> </w:t>
        <w:tab/>
      </w: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</w:r>
      <w:r>
        <w:rPr>
          <w:rFonts w:cs="Verdana" w:ascii="Verdana" w:hAnsi="Verdana"/>
          <w:sz w:val="16"/>
          <w:szCs w:val="16"/>
        </w:rPr>
        <w:t xml:space="preserve">Załącznik nr 5 do warunków      </w:t>
        <w:tab/>
        <w:tab/>
        <w:tab/>
        <w:tab/>
        <w:tab/>
        <w:tab/>
        <w:tab/>
        <w:tab/>
        <w:tab/>
        <w:t>konkursu- Osteoporoza</w:t>
      </w:r>
    </w:p>
    <w:p>
      <w:pPr>
        <w:pStyle w:val="Normal"/>
        <w:spacing w:lineRule="auto" w:line="240" w:before="0" w:after="0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Sprawozdanie realizatora z przeprowadzonych działań w ramach programu polityki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 xml:space="preserve">zdrowotnej </w:t>
      </w:r>
      <w:r>
        <w:rPr>
          <w:rFonts w:eastAsia="CIDFont+F1" w:cs="CIDFont+F1" w:ascii="Verdana" w:hAnsi="Verdana"/>
          <w:sz w:val="20"/>
          <w:szCs w:val="20"/>
        </w:rPr>
        <w:t>(wzór)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Dane realizatora programu polityki zdrowotnej</w:t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Pełna nazwa realizatora: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Dane kontaktowe</w:t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Adres siedziby: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Telefon kontaktowy: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E-mail: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Okres realizacji zadania (od - do)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 xml:space="preserve">Zbiorcze podsumowanie oceny uczestnictwa w programie i efektywności interwencji w oparciu o wskaźniki w ujęciu liczbowym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oraz procentowym (%):</w:t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Szkolenia dla personelu (etap I)</w:t>
            </w:r>
          </w:p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osób, które uczestniczyły w szkoleniach dla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personelu medycznego, z podziałem na zawody medyczne;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a) lekarze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b) pielęgniarki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c) osoby obsługujące densytometr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d) koordynatorzy programu i inne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Działania edukacyjno-informacyjne (etap II)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świadczeniobiorców, którzy zostali poddani działaniom edukacyjno-informacyjnym;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Ocena ryzyka poważnego złamania osteoporotycznego narzędziem FRAX (etap III)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świadczeniobiorców, którzy zostali zakwalifikowani do FRAX, z podziałem na wyniki &lt;5% i ≥5%;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a) ogółem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b) w tym z uzyskanym wynikiem &lt;5%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c) w tym z uzyskanym wynikiem ≥5%</w:t>
            </w:r>
          </w:p>
        </w:tc>
        <w:tc>
          <w:tcPr>
            <w:tcW w:w="4530" w:type="dxa"/>
            <w:tcBorders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Pomiar BMD za pomocą DXA (Etap IV)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 xml:space="preserve">liczba świadczeniobiorców, którzy w ramach programu wykonali pomiar BMD za pomocą DXA, 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Lekarska wizyta podsumowująca (etap V)</w:t>
            </w:r>
          </w:p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świadczeniobiorców, którzy wzięli udział w lekarskiej wizycie podsumowującej;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świadczeniobiorców z postawionym rozpoznaniem osteoporozy po udziale w programie (dane możliwe do uzyskania również w podziale na płeć i wiek);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>kobiety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 xml:space="preserve">mężczyźni 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świadczeniobiorców, którzy zostali po zakończeniu udziału w programie skierowani do dalszego leczenia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specjalistycznego;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świadczeniobiorców, którzy nie zostali objęci działaniami w ramach programu polityki zdrowotnej, wraz ze wskazaniem powodów;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liczba osób, która zrezygnowała z udziału w programie (wraz z informacją na jakim etapie i wskazaniem przyczyny).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IDFont+F2" w:hAnsi="CIDFont+F2" w:cs="CIDFont+F2"/>
              </w:rPr>
            </w:pPr>
            <w:r>
              <w:rPr>
                <w:rFonts w:cs="CIDFont+F2" w:ascii="CIDFont+F2" w:hAnsi="CIDFont+F2"/>
              </w:rPr>
            </w:r>
          </w:p>
        </w:tc>
      </w:tr>
      <w:tr>
        <w:trPr>
          <w:trHeight w:val="33" w:hRule="atLeast"/>
        </w:trPr>
        <w:tc>
          <w:tcPr>
            <w:tcW w:w="906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Zbiorcze podsumowanie informacji o przebiegu udziału w Programie, w ujęciu liczbowym oraz procentowym (%):</w:t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struktura uczestników programu wg wieku i płci;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>kobiety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 xml:space="preserve">mężczyźni 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informacje o świadczeniach, z których skorzystał uczestnik;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data zakończenia udziału wraz z podaniem przyczyny (np. zakończenie realizacji PPZ, wycofanie zgody na uczestnictwo w PPZ);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sposób zgłoszenia się do Programu: samodzielnie, skierowanie/informacja z POZ, skierowanie/informacja od Specjalisty;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CIDFont+F2" w:hAnsi="CIDFont+F2"/>
                <w:b/>
                <w:bCs/>
              </w:rPr>
            </w:r>
          </w:p>
        </w:tc>
      </w:tr>
      <w:tr>
        <w:trPr>
          <w:trHeight w:val="33" w:hRule="atLeast"/>
        </w:trPr>
        <w:tc>
          <w:tcPr>
            <w:tcW w:w="906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Zbiorcze podsumowanie oceny jakości udzielanych świadczeń na bazie ankiet satysfakcji, w ujęciu liczbowym oraz procentowym (%):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 xml:space="preserve">ogólna ocena jakości opieki zdrowotnej </w:t>
              <w:br/>
              <w:t xml:space="preserve">w podmiocie leczniczym (co najmniej </w:t>
              <w:br/>
              <w:t>w stopniu pozytywnie/negatywnie, preferowana szersza skala numeryczna);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stosunek opinii pozytywnych do wszystkich wypełnionych przez uczestników ankiet oceny jakości świadczeń;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 xml:space="preserve">ocena stopnia udzielenia informacji </w:t>
              <w:br/>
              <w:t xml:space="preserve">o dalszych zaleceniach przez personel medyczny (co najmniej 3-stopniowa </w:t>
              <w:br/>
              <w:t>np. czuję się wystarczająco poinformowany o zaleceniach – posiadam wiedzę co mam dalej robić/czuję, że w umiarkowanym stopniu wiem, co dalej robić/czuję się niedoinformowany – nie wiem co dalej robić);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906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IDFont+F2" w:hAnsi="CIDFont+F2" w:cs="CIDFont+F2"/>
                <w:b/>
                <w:b/>
                <w:bCs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  <w:t>Ewaluacja, w której powinno być odniesienie się do stopnia zrealizowania potrzeby zdrowotnej populacji docelowej na obszarze objętym PPZ, wyrażone w ujęciu liczbowym i procentowym (%) co najmniej w:</w:t>
            </w:r>
          </w:p>
        </w:tc>
      </w:tr>
      <w:tr>
        <w:trPr>
          <w:trHeight w:val="21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liczbie osób uczestniczących w szkoleniach dla personelu medycznego, u których doszło do wzrostu poziomu wiedzy (przeprowadzenie pre-testu i post-testu),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liczbie uczestników działań informacyjno-edukacyjnych, u których doszło do wzrostu poziomu wiedzy (przeprowadzenie pre-testu i post-testu),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odsetku świadczeniobiorców z wynikiem FRAX ≥5% względem wszystkich świadczeniobiorców, dla których w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 xml:space="preserve"> </w:t>
            </w:r>
            <w:r>
              <w:rPr>
                <w:rFonts w:eastAsia="CIDFont+F1" w:cs="CIDFont+F1" w:ascii="Verdana" w:hAnsi="Verdana"/>
                <w:sz w:val="20"/>
                <w:szCs w:val="20"/>
              </w:rPr>
              <w:t>ramach programu wykonano ocenę FRAX;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4531" w:type="dxa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5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 xml:space="preserve">odsetku świadczeniobiorców z wynikiem BMD </w:t>
            </w:r>
            <w:r>
              <w:rPr>
                <w:rFonts w:eastAsia="CIDFont+F1" w:cs="CIDFont+F5" w:ascii="Verdana" w:hAnsi="Verdana"/>
                <w:sz w:val="20"/>
                <w:szCs w:val="20"/>
              </w:rPr>
              <w:t xml:space="preserve">T-score </w:t>
            </w:r>
            <w:r>
              <w:rPr>
                <w:rFonts w:eastAsia="CIDFont+F1" w:cs="CIDFont+F1" w:ascii="Verdana" w:hAnsi="Verdana"/>
                <w:sz w:val="20"/>
                <w:szCs w:val="20"/>
              </w:rPr>
              <w:t>≤–2,5 względem wszystkich świadczeniobiorców, dla których przeprowadzono badanie DXA w ramach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programu;</w:t>
            </w:r>
          </w:p>
        </w:tc>
        <w:tc>
          <w:tcPr>
            <w:tcW w:w="453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b/>
                <w:b/>
                <w:bCs/>
                <w:sz w:val="20"/>
                <w:szCs w:val="20"/>
              </w:rPr>
            </w:pPr>
            <w:r>
              <w:rPr>
                <w:rFonts w:cs="CIDFont+F2" w:ascii="Verdana" w:hAnsi="Verdana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>Miejscowość, data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>pieczęć i podpis osoby działającej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  <w:t>w imieniu sprawozdawcy</w:t>
            </w:r>
          </w:p>
        </w:tc>
      </w:tr>
    </w:tbl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Verdana">
    <w:charset w:val="01"/>
    <w:family w:val="swiss"/>
    <w:pitch w:val="variable"/>
  </w:font>
  <w:font w:name="CIDFont+F2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32e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e32e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e32e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e32e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e32e0"/>
    <w:pPr/>
    <w:rPr>
      <w:b/>
      <w:bCs/>
    </w:rPr>
  </w:style>
  <w:style w:type="paragraph" w:styleId="ListParagraph">
    <w:name w:val="List Paragraph"/>
    <w:basedOn w:val="Normal"/>
    <w:uiPriority w:val="34"/>
    <w:qFormat/>
    <w:rsid w:val="00fa29f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f2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LibreOffice/6.4.1.2$Windows_x86 LibreOffice_project/4d224e95b98b138af42a64d84056446d09082932</Application>
  <Pages>3</Pages>
  <Words>579</Words>
  <Characters>3474</Characters>
  <CharactersWithSpaces>4045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2025-02-18T10:05:00Z</dcterms:created>
  <dc:creator>Szweda_Kinga</dc:creator>
  <dc:description/>
  <dc:language>pl-PL</dc:language>
  <cp:lastModifiedBy/>
  <cp:lastPrinted>2025-02-18T11:46:00Z</cp:lastPrinted>
  <dcterms:modified xsi:type="dcterms:W3CDTF">2026-02-19T12:49:45Z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